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0"/>
      </w:tblGrid>
      <w:tr w:rsidR="00002B64" w:rsidRPr="00002B64" w14:paraId="3088492A" w14:textId="77777777" w:rsidTr="00002B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0000"/>
            <w:hideMark/>
          </w:tcPr>
          <w:p w14:paraId="1A7C6054" w14:textId="77777777" w:rsidR="00002B64" w:rsidRPr="00002B64" w:rsidRDefault="00002B64" w:rsidP="00002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02B64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Preliminary Readiness Assessment</w:t>
            </w:r>
            <w:r w:rsidRPr="003A4EE6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 xml:space="preserve"> for Strategic Planning </w:t>
            </w:r>
          </w:p>
        </w:tc>
      </w:tr>
    </w:tbl>
    <w:p w14:paraId="776B9125" w14:textId="77777777" w:rsidR="00002B64" w:rsidRPr="00002B64" w:rsidRDefault="00E84BBB" w:rsidP="00002B64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84BBB">
        <w:rPr>
          <w:rFonts w:ascii="Bookman Old Style" w:eastAsia="Times New Roman" w:hAnsi="Bookman Old Style" w:cs="Times New Roman"/>
          <w:color w:val="000000"/>
        </w:rPr>
        <w:t xml:space="preserve">Before you launch your 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 xml:space="preserve">strategic planning </w:t>
      </w:r>
      <w:r w:rsidRPr="00E84BBB">
        <w:rPr>
          <w:rFonts w:ascii="Bookman Old Style" w:eastAsia="Times New Roman" w:hAnsi="Bookman Old Style" w:cs="Times New Roman"/>
          <w:color w:val="000000"/>
        </w:rPr>
        <w:t xml:space="preserve">process, take some time 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 xml:space="preserve">to assess your readiness. Use the following checklist to gauge </w:t>
      </w:r>
      <w:r w:rsidRPr="00E84BBB">
        <w:rPr>
          <w:rFonts w:ascii="Bookman Old Style" w:eastAsia="Times New Roman" w:hAnsi="Bookman Old Style" w:cs="Times New Roman"/>
          <w:color w:val="000000"/>
        </w:rPr>
        <w:t xml:space="preserve">how well 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>your organization</w:t>
      </w:r>
      <w:r w:rsidRPr="00E84BBB">
        <w:rPr>
          <w:rFonts w:ascii="Bookman Old Style" w:eastAsia="Times New Roman" w:hAnsi="Bookman Old Style" w:cs="Times New Roman"/>
          <w:color w:val="000000"/>
        </w:rPr>
        <w:t xml:space="preserve"> is prepared for this endeavor. 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 xml:space="preserve">Keep in mind that this is not a substitute for careful analysis of the conditions under which strategic planning will take place. Use this as a tool </w:t>
      </w:r>
      <w:r>
        <w:rPr>
          <w:rFonts w:ascii="Bookman Old Style" w:eastAsia="Times New Roman" w:hAnsi="Bookman Old Style" w:cs="Times New Roman"/>
          <w:color w:val="000000"/>
        </w:rPr>
        <w:t>to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 xml:space="preserve"> help you identify key issues that can </w:t>
      </w:r>
      <w:r>
        <w:rPr>
          <w:rFonts w:ascii="Bookman Old Style" w:eastAsia="Times New Roman" w:hAnsi="Bookman Old Style" w:cs="Times New Roman"/>
          <w:color w:val="000000"/>
        </w:rPr>
        <w:t>assist</w:t>
      </w:r>
      <w:r w:rsidR="00002B64" w:rsidRPr="00E84BBB">
        <w:rPr>
          <w:rFonts w:ascii="Bookman Old Style" w:eastAsia="Times New Roman" w:hAnsi="Bookman Old Style" w:cs="Times New Roman"/>
          <w:color w:val="000000"/>
        </w:rPr>
        <w:t xml:space="preserve"> or impede the process</w:t>
      </w:r>
      <w:r w:rsidR="00002B64" w:rsidRPr="00002B64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080"/>
        <w:gridCol w:w="1620"/>
        <w:gridCol w:w="918"/>
      </w:tblGrid>
      <w:tr w:rsidR="00002B64" w:rsidRPr="00204FC1" w14:paraId="377E7C66" w14:textId="77777777" w:rsidTr="00204FC1">
        <w:tc>
          <w:tcPr>
            <w:tcW w:w="5958" w:type="dxa"/>
            <w:shd w:val="clear" w:color="auto" w:fill="000000" w:themeFill="text1"/>
          </w:tcPr>
          <w:p w14:paraId="74AC1DD1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</w:pPr>
            <w:r w:rsidRPr="00204FC1"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  <w:t xml:space="preserve">Readiness Factor </w:t>
            </w:r>
          </w:p>
        </w:tc>
        <w:tc>
          <w:tcPr>
            <w:tcW w:w="1080" w:type="dxa"/>
            <w:shd w:val="clear" w:color="auto" w:fill="000000" w:themeFill="text1"/>
          </w:tcPr>
          <w:p w14:paraId="0A00D1FE" w14:textId="77777777" w:rsidR="00002B64" w:rsidRPr="00204FC1" w:rsidRDefault="00002B64" w:rsidP="00002B64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</w:pPr>
            <w:r w:rsidRPr="00204FC1"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1620" w:type="dxa"/>
            <w:shd w:val="clear" w:color="auto" w:fill="000000" w:themeFill="text1"/>
          </w:tcPr>
          <w:p w14:paraId="5C84A283" w14:textId="77777777" w:rsidR="00002B64" w:rsidRPr="00204FC1" w:rsidRDefault="00002B64" w:rsidP="00002B64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</w:pPr>
            <w:r w:rsidRPr="00204FC1"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  <w:t xml:space="preserve">Somewhat </w:t>
            </w:r>
          </w:p>
        </w:tc>
        <w:tc>
          <w:tcPr>
            <w:tcW w:w="918" w:type="dxa"/>
            <w:shd w:val="clear" w:color="auto" w:fill="000000" w:themeFill="text1"/>
          </w:tcPr>
          <w:p w14:paraId="675B5FFE" w14:textId="77777777" w:rsidR="00002B64" w:rsidRPr="00204FC1" w:rsidRDefault="00002B64" w:rsidP="00002B64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</w:pPr>
            <w:r w:rsidRPr="00204FC1">
              <w:rPr>
                <w:rFonts w:ascii="Bookman Old Style" w:eastAsia="Times New Roman" w:hAnsi="Bookman Old Style" w:cs="Times New Roman"/>
                <w:b/>
                <w:color w:val="FFFFFF" w:themeColor="background1"/>
              </w:rPr>
              <w:t xml:space="preserve">No </w:t>
            </w:r>
          </w:p>
        </w:tc>
      </w:tr>
      <w:tr w:rsidR="00204FC1" w:rsidRPr="00204FC1" w14:paraId="4DBB95C4" w14:textId="77777777" w:rsidTr="00204FC1">
        <w:tc>
          <w:tcPr>
            <w:tcW w:w="5958" w:type="dxa"/>
          </w:tcPr>
          <w:p w14:paraId="0A7728D4" w14:textId="77777777" w:rsidR="00204FC1" w:rsidRPr="00204FC1" w:rsidRDefault="00204FC1" w:rsidP="00204FC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Our Board and management are aware of the time and resources required to engage in meaningful strategic planning.   </w:t>
            </w:r>
          </w:p>
        </w:tc>
        <w:tc>
          <w:tcPr>
            <w:tcW w:w="1080" w:type="dxa"/>
          </w:tcPr>
          <w:p w14:paraId="18660357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1C9AEE89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7EBDADA5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204FC1" w:rsidRPr="00204FC1" w14:paraId="6F780E97" w14:textId="77777777" w:rsidTr="00204FC1">
        <w:tc>
          <w:tcPr>
            <w:tcW w:w="5958" w:type="dxa"/>
          </w:tcPr>
          <w:p w14:paraId="306D5FBD" w14:textId="77777777" w:rsidR="00204FC1" w:rsidRPr="00204FC1" w:rsidRDefault="00204FC1" w:rsidP="00204FC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Our Board, management and staff are willing and able to dedicate substantial time to a strategic planning process.</w:t>
            </w:r>
          </w:p>
        </w:tc>
        <w:tc>
          <w:tcPr>
            <w:tcW w:w="1080" w:type="dxa"/>
          </w:tcPr>
          <w:p w14:paraId="6EFE9FD6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3946CE34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6C61654C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2C9B026D" w14:textId="77777777" w:rsidTr="00204FC1">
        <w:tc>
          <w:tcPr>
            <w:tcW w:w="5958" w:type="dxa"/>
          </w:tcPr>
          <w:p w14:paraId="6BD4ABF7" w14:textId="77777777" w:rsidR="00002B64" w:rsidRPr="00204FC1" w:rsidRDefault="006D5A1A" w:rsidP="006D5A1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Our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board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is proactive in preparing for the future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>instead of waiting for emergencies to react.</w:t>
            </w:r>
          </w:p>
        </w:tc>
        <w:tc>
          <w:tcPr>
            <w:tcW w:w="1080" w:type="dxa"/>
          </w:tcPr>
          <w:p w14:paraId="58D61F56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297D02C8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3BE072A5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49EBFB5C" w14:textId="77777777" w:rsidTr="00204FC1">
        <w:tc>
          <w:tcPr>
            <w:tcW w:w="5958" w:type="dxa"/>
          </w:tcPr>
          <w:p w14:paraId="51B8EB4F" w14:textId="77777777" w:rsidR="00002B64" w:rsidRPr="00204FC1" w:rsidRDefault="006D5A1A" w:rsidP="006D5A1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Our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 board focuses more on </w:t>
            </w:r>
            <w:r w:rsidR="004C565A">
              <w:rPr>
                <w:rFonts w:ascii="Bookman Old Style" w:eastAsia="Times New Roman" w:hAnsi="Bookman Old Style" w:cs="Times New Roman"/>
                <w:color w:val="000000"/>
              </w:rPr>
              <w:t xml:space="preserve">mission and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policy than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on routine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>management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 and operations.</w:t>
            </w:r>
          </w:p>
        </w:tc>
        <w:tc>
          <w:tcPr>
            <w:tcW w:w="1080" w:type="dxa"/>
          </w:tcPr>
          <w:p w14:paraId="3E281C20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23CBDD14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5EED1FDB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48D97BE6" w14:textId="77777777" w:rsidTr="00204FC1">
        <w:tc>
          <w:tcPr>
            <w:tcW w:w="5958" w:type="dxa"/>
          </w:tcPr>
          <w:p w14:paraId="7D16DA5A" w14:textId="77777777" w:rsidR="00002B64" w:rsidRPr="00204FC1" w:rsidRDefault="006D5A1A" w:rsidP="003A4EE6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Our b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oard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and management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seek community input on 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>significant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 decisions that impact our services. </w:t>
            </w:r>
          </w:p>
        </w:tc>
        <w:tc>
          <w:tcPr>
            <w:tcW w:w="1080" w:type="dxa"/>
          </w:tcPr>
          <w:p w14:paraId="70C3980B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1AACC6D3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7154449F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204FC1" w:rsidRPr="00204FC1" w14:paraId="346BD37A" w14:textId="77777777" w:rsidTr="00204FC1">
        <w:tc>
          <w:tcPr>
            <w:tcW w:w="5958" w:type="dxa"/>
          </w:tcPr>
          <w:p w14:paraId="5A73155F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Our community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is able to communicate with us about </w:t>
            </w: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>what it needs and wants.</w:t>
            </w:r>
          </w:p>
        </w:tc>
        <w:tc>
          <w:tcPr>
            <w:tcW w:w="1080" w:type="dxa"/>
          </w:tcPr>
          <w:p w14:paraId="0C07D028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22C93E90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1D71DE5A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204FC1" w:rsidRPr="00204FC1" w14:paraId="2600231C" w14:textId="77777777" w:rsidTr="00204FC1">
        <w:tc>
          <w:tcPr>
            <w:tcW w:w="5958" w:type="dxa"/>
          </w:tcPr>
          <w:p w14:paraId="279CAC50" w14:textId="77777777" w:rsidR="00204FC1" w:rsidRPr="00204FC1" w:rsidRDefault="003A4EE6" w:rsidP="003A4EE6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K</w:t>
            </w:r>
            <w:r w:rsidR="00204FC1">
              <w:rPr>
                <w:rFonts w:ascii="Bookman Old Style" w:eastAsia="Times New Roman" w:hAnsi="Bookman Old Style" w:cs="Times New Roman"/>
                <w:color w:val="000000"/>
              </w:rPr>
              <w:t>ey community leaders and partners</w:t>
            </w:r>
            <w:r>
              <w:rPr>
                <w:rFonts w:ascii="Bookman Old Style" w:eastAsia="Times New Roman" w:hAnsi="Bookman Old Style" w:cs="Times New Roman"/>
                <w:color w:val="000000"/>
              </w:rPr>
              <w:t xml:space="preserve"> will be willing to participate in our planning process in a meaningful way.</w:t>
            </w:r>
          </w:p>
        </w:tc>
        <w:tc>
          <w:tcPr>
            <w:tcW w:w="1080" w:type="dxa"/>
          </w:tcPr>
          <w:p w14:paraId="408B4D5B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3B238329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5C6B9356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541179AA" w14:textId="77777777" w:rsidTr="00204FC1">
        <w:tc>
          <w:tcPr>
            <w:tcW w:w="5958" w:type="dxa"/>
          </w:tcPr>
          <w:p w14:paraId="6E4FACFB" w14:textId="77777777" w:rsidR="00002B64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Our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 board uses data in making its decisions.</w:t>
            </w:r>
          </w:p>
        </w:tc>
        <w:tc>
          <w:tcPr>
            <w:tcW w:w="1080" w:type="dxa"/>
          </w:tcPr>
          <w:p w14:paraId="01AC01CA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3ECD4560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63EB470C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204FC1" w:rsidRPr="00204FC1" w14:paraId="5970BDA5" w14:textId="77777777" w:rsidTr="00204FC1">
        <w:tc>
          <w:tcPr>
            <w:tcW w:w="5958" w:type="dxa"/>
          </w:tcPr>
          <w:p w14:paraId="3D755496" w14:textId="77777777" w:rsidR="00204FC1" w:rsidRPr="00204FC1" w:rsidRDefault="00204FC1" w:rsidP="00603EF0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Our organization 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 xml:space="preserve">keeps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record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>s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 and is able to report data to support decision</w:t>
            </w:r>
            <w:r w:rsidR="00603EF0">
              <w:rPr>
                <w:rFonts w:ascii="Bookman Old Style" w:eastAsia="Times New Roman" w:hAnsi="Bookman Old Style" w:cs="Times New Roman"/>
                <w:color w:val="000000"/>
              </w:rPr>
              <w:t>-making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. </w:t>
            </w:r>
          </w:p>
        </w:tc>
        <w:tc>
          <w:tcPr>
            <w:tcW w:w="1080" w:type="dxa"/>
          </w:tcPr>
          <w:p w14:paraId="593AD28F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40ACB082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3BFC4F08" w14:textId="77777777" w:rsidR="00204FC1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5F306B72" w14:textId="77777777" w:rsidTr="00204FC1">
        <w:tc>
          <w:tcPr>
            <w:tcW w:w="5958" w:type="dxa"/>
          </w:tcPr>
          <w:p w14:paraId="552857AE" w14:textId="77777777" w:rsidR="00002B64" w:rsidRPr="00204FC1" w:rsidRDefault="00204FC1" w:rsidP="003A4EE6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Our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board recognizes 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 xml:space="preserve">and understands how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a change in one part of the organization 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>can</w:t>
            </w:r>
            <w:r w:rsidR="006D5A1A"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 impact other functions. </w:t>
            </w:r>
          </w:p>
        </w:tc>
        <w:tc>
          <w:tcPr>
            <w:tcW w:w="1080" w:type="dxa"/>
          </w:tcPr>
          <w:p w14:paraId="07B887E7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4D426CA7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084F244E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2AAE8128" w14:textId="77777777" w:rsidTr="00204FC1">
        <w:tc>
          <w:tcPr>
            <w:tcW w:w="5958" w:type="dxa"/>
          </w:tcPr>
          <w:p w14:paraId="5F96ED92" w14:textId="77777777" w:rsidR="00002B64" w:rsidRPr="00204FC1" w:rsidRDefault="00204FC1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Our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>board usually reaches decision</w:t>
            </w:r>
            <w:r w:rsidR="00603EF0">
              <w:rPr>
                <w:rFonts w:ascii="Bookman Old Style" w:eastAsia="Times New Roman" w:hAnsi="Bookman Old Style" w:cs="Times New Roman"/>
                <w:color w:val="000000"/>
              </w:rPr>
              <w:t>s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 by consensus after some </w:t>
            </w:r>
            <w:r w:rsidR="00950BF1" w:rsidRPr="00002B64">
              <w:rPr>
                <w:rFonts w:ascii="Bookman Old Style" w:eastAsia="Times New Roman" w:hAnsi="Bookman Old Style" w:cs="Times New Roman"/>
                <w:color w:val="000000"/>
              </w:rPr>
              <w:t>deliberation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1080" w:type="dxa"/>
          </w:tcPr>
          <w:p w14:paraId="3C24EF3A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6FFA6134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736FFFA0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1013DE52" w14:textId="77777777" w:rsidTr="00204FC1">
        <w:tc>
          <w:tcPr>
            <w:tcW w:w="5958" w:type="dxa"/>
          </w:tcPr>
          <w:p w14:paraId="039DA1E5" w14:textId="77777777" w:rsidR="00002B64" w:rsidRPr="00204FC1" w:rsidRDefault="00204FC1" w:rsidP="006D5A1A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Our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 board is knowledgeable about what other </w:t>
            </w:r>
            <w:r w:rsidR="006D5A1A"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organizations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>are doing to achieve change.</w:t>
            </w:r>
          </w:p>
        </w:tc>
        <w:tc>
          <w:tcPr>
            <w:tcW w:w="1080" w:type="dxa"/>
          </w:tcPr>
          <w:p w14:paraId="515870CF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48EC8BE4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35BF89BD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204FC1" w:rsidRPr="00204FC1" w14:paraId="23E9A088" w14:textId="77777777" w:rsidTr="00204FC1">
        <w:tc>
          <w:tcPr>
            <w:tcW w:w="5958" w:type="dxa"/>
          </w:tcPr>
          <w:p w14:paraId="6544AE47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The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Board and staff are </w:t>
            </w: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knowledgeable about current trends in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nonprofit management. </w:t>
            </w:r>
          </w:p>
        </w:tc>
        <w:tc>
          <w:tcPr>
            <w:tcW w:w="1080" w:type="dxa"/>
          </w:tcPr>
          <w:p w14:paraId="16DEC65E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7B6CBF30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15EF99BD" w14:textId="77777777" w:rsidR="00204FC1" w:rsidRPr="00204FC1" w:rsidRDefault="00204FC1" w:rsidP="00F926F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5C1B19BF" w14:textId="77777777" w:rsidTr="00204FC1">
        <w:tc>
          <w:tcPr>
            <w:tcW w:w="5958" w:type="dxa"/>
          </w:tcPr>
          <w:p w14:paraId="54C05613" w14:textId="77777777" w:rsidR="00002B64" w:rsidRPr="00204FC1" w:rsidRDefault="00002B64" w:rsidP="00204FC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Conflict among board members </w:t>
            </w:r>
            <w:r w:rsidR="006D5A1A"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and </w:t>
            </w:r>
            <w:r w:rsidR="00204FC1"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within </w:t>
            </w:r>
            <w:r w:rsidR="006D5A1A"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the organization </w:t>
            </w: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is dealt with in a straight-forward and </w:t>
            </w:r>
            <w:r w:rsidR="006D5A1A" w:rsidRPr="00204FC1">
              <w:rPr>
                <w:rFonts w:ascii="Bookman Old Style" w:eastAsia="Times New Roman" w:hAnsi="Bookman Old Style" w:cs="Times New Roman"/>
                <w:color w:val="000000"/>
              </w:rPr>
              <w:t>collaborative</w:t>
            </w:r>
            <w:r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 manner.</w:t>
            </w:r>
          </w:p>
        </w:tc>
        <w:tc>
          <w:tcPr>
            <w:tcW w:w="1080" w:type="dxa"/>
          </w:tcPr>
          <w:p w14:paraId="71B2FA7B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7A4029E1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0A939DD8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002B64" w:rsidRPr="00204FC1" w14:paraId="4655708A" w14:textId="77777777" w:rsidTr="00204FC1">
        <w:tc>
          <w:tcPr>
            <w:tcW w:w="5958" w:type="dxa"/>
          </w:tcPr>
          <w:p w14:paraId="16B789A8" w14:textId="77777777" w:rsidR="00002B64" w:rsidRPr="00204FC1" w:rsidRDefault="006D5A1A" w:rsidP="003A4EE6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>There is trust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 xml:space="preserve">,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respect </w:t>
            </w:r>
            <w:r w:rsidR="003A4EE6">
              <w:rPr>
                <w:rFonts w:ascii="Bookman Old Style" w:eastAsia="Times New Roman" w:hAnsi="Bookman Old Style" w:cs="Times New Roman"/>
                <w:color w:val="000000"/>
              </w:rPr>
              <w:t xml:space="preserve">and good communication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between the Executive Director, </w:t>
            </w:r>
            <w:r w:rsidR="00002B64" w:rsidRPr="00002B64">
              <w:rPr>
                <w:rFonts w:ascii="Bookman Old Style" w:eastAsia="Times New Roman" w:hAnsi="Bookman Old Style" w:cs="Times New Roman"/>
                <w:color w:val="000000"/>
              </w:rPr>
              <w:t xml:space="preserve">staff </w:t>
            </w:r>
            <w:r w:rsidRPr="00204FC1">
              <w:rPr>
                <w:rFonts w:ascii="Bookman Old Style" w:eastAsia="Times New Roman" w:hAnsi="Bookman Old Style" w:cs="Times New Roman"/>
                <w:color w:val="000000"/>
              </w:rPr>
              <w:t xml:space="preserve">and Board. </w:t>
            </w:r>
          </w:p>
        </w:tc>
        <w:tc>
          <w:tcPr>
            <w:tcW w:w="1080" w:type="dxa"/>
          </w:tcPr>
          <w:p w14:paraId="1A28C0A2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620" w:type="dxa"/>
          </w:tcPr>
          <w:p w14:paraId="2872CF16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918" w:type="dxa"/>
          </w:tcPr>
          <w:p w14:paraId="577F365D" w14:textId="77777777" w:rsidR="00002B64" w:rsidRPr="00204FC1" w:rsidRDefault="00002B64" w:rsidP="006A4F2F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</w:tbl>
    <w:p w14:paraId="56CB4768" w14:textId="77777777" w:rsidR="00002B64" w:rsidRPr="00002B64" w:rsidRDefault="00002B64" w:rsidP="006D5A1A">
      <w:pPr>
        <w:rPr>
          <w:rFonts w:ascii="Bookman Old Style" w:hAnsi="Bookman Old Style"/>
        </w:rPr>
      </w:pPr>
    </w:p>
    <w:sectPr w:rsidR="00002B64" w:rsidRPr="00002B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96C6" w14:textId="77777777" w:rsidR="00A6106F" w:rsidRDefault="00A6106F" w:rsidP="00F012DF">
      <w:pPr>
        <w:spacing w:after="0"/>
      </w:pPr>
      <w:r>
        <w:separator/>
      </w:r>
    </w:p>
  </w:endnote>
  <w:endnote w:type="continuationSeparator" w:id="0">
    <w:p w14:paraId="335E68F4" w14:textId="77777777" w:rsidR="00A6106F" w:rsidRDefault="00A6106F" w:rsidP="00F01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Marion">
    <w:panose1 w:val="02020502060400020003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753B" w14:textId="77777777" w:rsidR="00F012DF" w:rsidRPr="00F012DF" w:rsidRDefault="00F012DF" w:rsidP="00F012DF">
    <w:pPr>
      <w:spacing w:after="0"/>
      <w:rPr>
        <w:rFonts w:ascii="Calibri" w:hAnsi="Calibri" w:cstheme="minorHAnsi"/>
        <w:sz w:val="18"/>
        <w:szCs w:val="18"/>
      </w:rPr>
    </w:pPr>
    <w:r w:rsidRPr="00F012DF">
      <w:rPr>
        <w:rFonts w:ascii="Calibri" w:eastAsia="Marion" w:hAnsi="Calibri" w:cstheme="minorHAnsi"/>
        <w:sz w:val="18"/>
        <w:szCs w:val="18"/>
      </w:rPr>
      <w:t xml:space="preserve">© 2019, Judith </w:t>
    </w:r>
    <w:proofErr w:type="spellStart"/>
    <w:r w:rsidRPr="00F012DF">
      <w:rPr>
        <w:rFonts w:ascii="Calibri" w:eastAsia="Marion" w:hAnsi="Calibri" w:cstheme="minorHAnsi"/>
        <w:sz w:val="18"/>
        <w:szCs w:val="18"/>
      </w:rPr>
      <w:t>Sulsona</w:t>
    </w:r>
    <w:proofErr w:type="spellEnd"/>
    <w:r w:rsidRPr="00F012DF">
      <w:rPr>
        <w:rFonts w:ascii="Calibri" w:eastAsia="Marion" w:hAnsi="Calibri" w:cstheme="minorHAnsi"/>
        <w:sz w:val="18"/>
        <w:szCs w:val="18"/>
      </w:rPr>
      <w:t>. This work is made available under the terms of the Creative Commons Attribution-</w:t>
    </w:r>
    <w:proofErr w:type="spellStart"/>
    <w:r w:rsidRPr="00F012DF">
      <w:rPr>
        <w:rFonts w:ascii="Calibri" w:eastAsia="Marion" w:hAnsi="Calibri" w:cstheme="minorHAnsi"/>
        <w:sz w:val="18"/>
        <w:szCs w:val="18"/>
      </w:rPr>
      <w:t>NonCommercial</w:t>
    </w:r>
    <w:proofErr w:type="spellEnd"/>
    <w:r w:rsidRPr="00F012DF">
      <w:rPr>
        <w:rFonts w:ascii="Calibri" w:eastAsia="Marion" w:hAnsi="Calibri" w:cstheme="minorHAnsi"/>
        <w:sz w:val="18"/>
        <w:szCs w:val="18"/>
      </w:rPr>
      <w:t>-</w:t>
    </w:r>
    <w:proofErr w:type="spellStart"/>
    <w:r w:rsidRPr="00F012DF">
      <w:rPr>
        <w:rFonts w:ascii="Calibri" w:eastAsia="Marion" w:hAnsi="Calibri" w:cstheme="minorHAnsi"/>
        <w:sz w:val="18"/>
        <w:szCs w:val="18"/>
      </w:rPr>
      <w:t>ShareAlike</w:t>
    </w:r>
    <w:proofErr w:type="spellEnd"/>
    <w:r w:rsidRPr="00F012DF">
      <w:rPr>
        <w:rFonts w:ascii="Calibri" w:eastAsia="Marion" w:hAnsi="Calibri" w:cstheme="minorHAnsi"/>
        <w:sz w:val="18"/>
        <w:szCs w:val="18"/>
      </w:rPr>
      <w:t xml:space="preserve"> 4.0 International License, </w:t>
    </w:r>
    <w:hyperlink r:id="rId1">
      <w:r w:rsidRPr="00F012DF">
        <w:rPr>
          <w:rStyle w:val="Hyperlink"/>
          <w:rFonts w:ascii="Calibri" w:eastAsia="Marion" w:hAnsi="Calibri" w:cstheme="minorHAnsi"/>
          <w:sz w:val="18"/>
          <w:szCs w:val="18"/>
        </w:rPr>
        <w:t>https://creativecommons.org/licenses/by-nc-sa/4.0/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907B" w14:textId="77777777" w:rsidR="00A6106F" w:rsidRDefault="00A6106F" w:rsidP="00F012DF">
      <w:pPr>
        <w:spacing w:after="0"/>
      </w:pPr>
      <w:r>
        <w:separator/>
      </w:r>
    </w:p>
  </w:footnote>
  <w:footnote w:type="continuationSeparator" w:id="0">
    <w:p w14:paraId="419F7C9D" w14:textId="77777777" w:rsidR="00A6106F" w:rsidRDefault="00A6106F" w:rsidP="00F01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B64"/>
    <w:rsid w:val="00002B64"/>
    <w:rsid w:val="00204FC1"/>
    <w:rsid w:val="00217D09"/>
    <w:rsid w:val="003A4EE6"/>
    <w:rsid w:val="004C565A"/>
    <w:rsid w:val="00603EF0"/>
    <w:rsid w:val="006D5A1A"/>
    <w:rsid w:val="00712513"/>
    <w:rsid w:val="00950BF1"/>
    <w:rsid w:val="00A6106F"/>
    <w:rsid w:val="00DD0859"/>
    <w:rsid w:val="00E84BBB"/>
    <w:rsid w:val="00F012DF"/>
    <w:rsid w:val="00F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0D7A6"/>
  <w15:docId w15:val="{6B47DFFE-51C3-F54E-970A-7A44064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B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2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2DF"/>
  </w:style>
  <w:style w:type="paragraph" w:styleId="Footer">
    <w:name w:val="footer"/>
    <w:basedOn w:val="Normal"/>
    <w:link w:val="FooterChar"/>
    <w:uiPriority w:val="99"/>
    <w:unhideWhenUsed/>
    <w:rsid w:val="00F01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2DF"/>
  </w:style>
  <w:style w:type="character" w:styleId="Hyperlink">
    <w:name w:val="Hyperlink"/>
    <w:basedOn w:val="DefaultParagraphFont"/>
    <w:uiPriority w:val="99"/>
    <w:unhideWhenUsed/>
    <w:rsid w:val="00F0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Terry Teitelbaum</cp:lastModifiedBy>
  <cp:revision>4</cp:revision>
  <dcterms:created xsi:type="dcterms:W3CDTF">2018-09-14T21:22:00Z</dcterms:created>
  <dcterms:modified xsi:type="dcterms:W3CDTF">2019-05-09T18:21:00Z</dcterms:modified>
</cp:coreProperties>
</file>